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2B7E65">
        <w:rPr>
          <w:rFonts w:eastAsia="宋体" w:hint="eastAsia"/>
          <w:lang w:eastAsia="zh-CN"/>
        </w:rPr>
        <w:t>82</w:t>
      </w:r>
      <w:r>
        <w:rPr>
          <w:rFonts w:eastAsia="宋体" w:hint="eastAsia"/>
          <w:lang w:eastAsia="zh-CN"/>
        </w:rPr>
        <w:t xml:space="preserve">                                        </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w:t>
      </w:r>
      <w:r w:rsidR="00DA3613" w:rsidRPr="00DA3613">
        <w:rPr>
          <w:rFonts w:ascii="Arial" w:eastAsia="宋体" w:hAnsi="Arial" w:cs="Arial"/>
          <w:b/>
          <w:noProof/>
          <w:kern w:val="0"/>
          <w:sz w:val="22"/>
          <w:lang w:val="en-GB"/>
        </w:rPr>
        <w:t>6.4A.2.2.1 Carrier leakage for CA (2UL CA)</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According to baseline agreement endorsed in [1</w:t>
      </w:r>
      <w:proofErr w:type="gramStart"/>
      <w:r>
        <w:rPr>
          <w:rFonts w:hint="eastAsia"/>
          <w:szCs w:val="21"/>
        </w:rPr>
        <w:t>][</w:t>
      </w:r>
      <w:proofErr w:type="gramEnd"/>
      <w:r>
        <w:rPr>
          <w:rFonts w:hint="eastAsia"/>
          <w:szCs w:val="21"/>
        </w:rPr>
        <w:t xml:space="preserve">2] regarding testing </w:t>
      </w:r>
      <w:r w:rsidR="008972BB">
        <w:rPr>
          <w:rFonts w:hint="eastAsia"/>
          <w:szCs w:val="21"/>
        </w:rPr>
        <w:t>parameters selection and agreement in [3] for FR1 SC</w:t>
      </w:r>
      <w:r w:rsidR="00A7569B">
        <w:rPr>
          <w:rFonts w:hint="eastAsia"/>
          <w:szCs w:val="21"/>
        </w:rPr>
        <w:t xml:space="preserve"> carrier leakage</w:t>
      </w:r>
      <w:r w:rsidR="008972BB">
        <w:rPr>
          <w:rFonts w:hint="eastAsia"/>
          <w:szCs w:val="21"/>
        </w:rPr>
        <w:t>,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 xml:space="preserve">ation and waveform for </w:t>
      </w:r>
      <w:r w:rsidR="00A7569B">
        <w:rPr>
          <w:rFonts w:hint="eastAsia"/>
        </w:rPr>
        <w:t>carrier leakage</w:t>
      </w:r>
      <w:r w:rsidR="00086D95">
        <w:rPr>
          <w:rFonts w:hint="eastAsia"/>
        </w:rPr>
        <w:t xml:space="preserve"> of 2UL inter-band CA case. </w:t>
      </w:r>
    </w:p>
    <w:p w:rsidR="00537A2F" w:rsidRDefault="00537A2F" w:rsidP="00537A2F">
      <w:pPr>
        <w:pStyle w:val="Heading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 as table below. </w:t>
      </w:r>
    </w:p>
    <w:p w:rsidR="00DA3613" w:rsidRPr="001C4EB0" w:rsidRDefault="00DA3613" w:rsidP="00DA3613">
      <w:pPr>
        <w:pStyle w:val="TH"/>
        <w:rPr>
          <w:rFonts w:eastAsia="Malgun Gothic"/>
          <w:highlight w:val="lightGray"/>
        </w:rPr>
      </w:pPr>
      <w:r w:rsidRPr="001C4EB0">
        <w:rPr>
          <w:rFonts w:eastAsia="Malgun Gothic"/>
          <w:highlight w:val="lightGray"/>
        </w:rPr>
        <w:t>Table 6.5.2A.2.</w:t>
      </w:r>
      <w:r w:rsidRPr="001C4EB0">
        <w:rPr>
          <w:highlight w:val="lightGray"/>
        </w:rPr>
        <w:t>2</w:t>
      </w:r>
      <w:r w:rsidRPr="001C4EB0">
        <w:rPr>
          <w:rFonts w:eastAsia="Malgun Gothic"/>
          <w:highlight w:val="lightGray"/>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20"/>
        <w:gridCol w:w="888"/>
        <w:gridCol w:w="1369"/>
        <w:gridCol w:w="779"/>
        <w:gridCol w:w="860"/>
        <w:gridCol w:w="1020"/>
        <w:gridCol w:w="1220"/>
        <w:gridCol w:w="540"/>
        <w:gridCol w:w="540"/>
      </w:tblGrid>
      <w:tr w:rsidR="00DA3613" w:rsidRPr="001C4EB0" w:rsidTr="000229CD">
        <w:trPr>
          <w:jc w:val="center"/>
        </w:trPr>
        <w:tc>
          <w:tcPr>
            <w:tcW w:w="8722" w:type="dxa"/>
            <w:gridSpan w:val="10"/>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Initial Conditions</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 xml:space="preserve">Test Environment as specified in </w:t>
            </w:r>
            <w:r w:rsidRPr="001C4EB0">
              <w:rPr>
                <w:highlight w:val="lightGray"/>
                <w:lang w:eastAsia="en-US"/>
              </w:rPr>
              <w:br/>
              <w:t>TS 36.508</w:t>
            </w:r>
            <w:r w:rsidRPr="001C4EB0">
              <w:rPr>
                <w:highlight w:val="lightGray"/>
                <w:lang w:eastAsia="zh-CN"/>
              </w:rPr>
              <w:t xml:space="preserve"> </w:t>
            </w:r>
            <w:r w:rsidRPr="001C4EB0">
              <w:rPr>
                <w:highlight w:val="lightGray"/>
                <w:lang w:eastAsia="en-US"/>
              </w:rPr>
              <w:t xml:space="preserve">[7] </w:t>
            </w:r>
            <w:proofErr w:type="spellStart"/>
            <w:r w:rsidRPr="001C4EB0">
              <w:rPr>
                <w:highlight w:val="lightGray"/>
                <w:lang w:eastAsia="en-US"/>
              </w:rPr>
              <w:t>subclause</w:t>
            </w:r>
            <w:proofErr w:type="spellEnd"/>
            <w:r w:rsidRPr="001C4EB0">
              <w:rPr>
                <w:highlight w:val="lightGray"/>
                <w:lang w:eastAsia="en-US"/>
              </w:rPr>
              <w:t xml:space="preserve"> 4.1</w:t>
            </w:r>
          </w:p>
        </w:tc>
        <w:tc>
          <w:tcPr>
            <w:tcW w:w="4180"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NC</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Test Frequencies as specified in</w:t>
            </w:r>
            <w:r w:rsidRPr="001C4EB0">
              <w:rPr>
                <w:highlight w:val="lightGray"/>
                <w:lang w:eastAsia="en-US"/>
              </w:rPr>
              <w:br/>
              <w:t>TS</w:t>
            </w:r>
            <w:r w:rsidRPr="001C4EB0">
              <w:rPr>
                <w:highlight w:val="lightGray"/>
                <w:lang w:eastAsia="zh-CN"/>
              </w:rPr>
              <w:t xml:space="preserve"> </w:t>
            </w:r>
            <w:r w:rsidRPr="001C4EB0">
              <w:rPr>
                <w:highlight w:val="lightGray"/>
                <w:lang w:eastAsia="en-US"/>
              </w:rPr>
              <w:t xml:space="preserve">36.508 [7] </w:t>
            </w:r>
            <w:proofErr w:type="spellStart"/>
            <w:r w:rsidRPr="001C4EB0">
              <w:rPr>
                <w:highlight w:val="lightGray"/>
                <w:lang w:eastAsia="en-US"/>
              </w:rPr>
              <w:t>subclause</w:t>
            </w:r>
            <w:proofErr w:type="spellEnd"/>
            <w:r w:rsidRPr="001C4EB0">
              <w:rPr>
                <w:highlight w:val="lightGray"/>
                <w:lang w:eastAsia="en-US"/>
              </w:rPr>
              <w:t xml:space="preserve"> 4.3.1 for different CA bandwidth classes.</w:t>
            </w:r>
          </w:p>
        </w:tc>
        <w:tc>
          <w:tcPr>
            <w:tcW w:w="4180"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Low range for PCC and SCC</w:t>
            </w:r>
          </w:p>
          <w:p w:rsidR="00DA3613" w:rsidRPr="001C4EB0" w:rsidRDefault="00DA3613" w:rsidP="000229CD">
            <w:pPr>
              <w:pStyle w:val="TAL"/>
              <w:rPr>
                <w:rFonts w:cs="Arial"/>
                <w:szCs w:val="18"/>
                <w:highlight w:val="lightGray"/>
                <w:lang w:eastAsia="en-US"/>
              </w:rPr>
            </w:pPr>
            <w:r w:rsidRPr="001C4EB0">
              <w:rPr>
                <w:highlight w:val="lightGray"/>
                <w:lang w:eastAsia="en-US"/>
              </w:rPr>
              <w:t>High range for PCC and SCC</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Test CC Combination setting (</w:t>
            </w:r>
            <w:proofErr w:type="spellStart"/>
            <w:r w:rsidRPr="001C4EB0">
              <w:rPr>
                <w:highlight w:val="lightGray"/>
                <w:lang w:eastAsia="en-US"/>
              </w:rPr>
              <w:t>N</w:t>
            </w:r>
            <w:r w:rsidRPr="001C4EB0">
              <w:rPr>
                <w:highlight w:val="lightGray"/>
                <w:vertAlign w:val="subscript"/>
                <w:lang w:eastAsia="en-US"/>
              </w:rPr>
              <w:t>RB_agg</w:t>
            </w:r>
            <w:proofErr w:type="spellEnd"/>
            <w:r w:rsidRPr="001C4EB0">
              <w:rPr>
                <w:highlight w:val="lightGray"/>
                <w:lang w:eastAsia="en-US"/>
              </w:rPr>
              <w:t xml:space="preserve">) as specified in </w:t>
            </w:r>
            <w:proofErr w:type="spellStart"/>
            <w:r w:rsidRPr="001C4EB0">
              <w:rPr>
                <w:highlight w:val="lightGray"/>
                <w:lang w:eastAsia="en-US"/>
              </w:rPr>
              <w:t>subclause</w:t>
            </w:r>
            <w:proofErr w:type="spellEnd"/>
            <w:r w:rsidRPr="001C4EB0">
              <w:rPr>
                <w:highlight w:val="lightGray"/>
                <w:lang w:eastAsia="en-US"/>
              </w:rPr>
              <w:t xml:space="preserve"> 5.4.2A.1 for the CA Configuration</w:t>
            </w:r>
          </w:p>
        </w:tc>
        <w:tc>
          <w:tcPr>
            <w:tcW w:w="4180" w:type="dxa"/>
            <w:gridSpan w:val="5"/>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Lowest N</w:t>
            </w:r>
            <w:r w:rsidRPr="001C4EB0">
              <w:rPr>
                <w:rFonts w:cs="Arial"/>
                <w:szCs w:val="18"/>
                <w:highlight w:val="lightGray"/>
                <w:vertAlign w:val="subscript"/>
                <w:lang w:eastAsia="en-US"/>
              </w:rPr>
              <w:t>RB</w:t>
            </w:r>
            <w:r w:rsidRPr="001C4EB0">
              <w:rPr>
                <w:rFonts w:cs="Arial"/>
                <w:szCs w:val="18"/>
                <w:highlight w:val="lightGray"/>
                <w:lang w:eastAsia="en-US"/>
              </w:rPr>
              <w:t xml:space="preserve"> for PCC and SCC</w:t>
            </w:r>
          </w:p>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Highest N</w:t>
            </w:r>
            <w:r w:rsidRPr="001C4EB0">
              <w:rPr>
                <w:rFonts w:cs="Arial"/>
                <w:szCs w:val="18"/>
                <w:highlight w:val="lightGray"/>
                <w:vertAlign w:val="subscript"/>
                <w:lang w:eastAsia="en-US"/>
              </w:rPr>
              <w:t>RB</w:t>
            </w:r>
            <w:r w:rsidRPr="001C4EB0">
              <w:rPr>
                <w:rFonts w:cs="Arial"/>
                <w:szCs w:val="18"/>
                <w:highlight w:val="lightGray"/>
                <w:lang w:eastAsia="en-US"/>
              </w:rPr>
              <w:t xml:space="preserve"> for PCC and SCC</w:t>
            </w:r>
          </w:p>
        </w:tc>
      </w:tr>
      <w:tr w:rsidR="00DA3613" w:rsidRPr="001C4EB0" w:rsidTr="000229CD">
        <w:trPr>
          <w:jc w:val="center"/>
        </w:trPr>
        <w:tc>
          <w:tcPr>
            <w:tcW w:w="8722" w:type="dxa"/>
            <w:gridSpan w:val="10"/>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Test Parameters for CA Configurations</w:t>
            </w:r>
          </w:p>
        </w:tc>
      </w:tr>
      <w:tr w:rsidR="00DA3613" w:rsidRPr="001C4EB0" w:rsidTr="000229CD">
        <w:trPr>
          <w:jc w:val="center"/>
        </w:trPr>
        <w:tc>
          <w:tcPr>
            <w:tcW w:w="786" w:type="dxa"/>
            <w:vMerge w:val="restart"/>
            <w:shd w:val="clear" w:color="auto" w:fill="auto"/>
          </w:tcPr>
          <w:p w:rsidR="00DA3613" w:rsidRPr="001C4EB0" w:rsidRDefault="00DA3613" w:rsidP="00DA3613">
            <w:pPr>
              <w:pStyle w:val="TAH"/>
              <w:ind w:firstLine="480"/>
              <w:rPr>
                <w:highlight w:val="lightGray"/>
                <w:lang w:eastAsia="en-US"/>
              </w:rPr>
            </w:pPr>
            <w:proofErr w:type="spellStart"/>
            <w:r w:rsidRPr="001C4EB0">
              <w:rPr>
                <w:highlight w:val="lightGray"/>
                <w:lang w:eastAsia="en-US"/>
              </w:rPr>
              <w:t>Config</w:t>
            </w:r>
            <w:proofErr w:type="spellEnd"/>
            <w:r w:rsidRPr="001C4EB0">
              <w:rPr>
                <w:highlight w:val="lightGray"/>
                <w:lang w:eastAsia="en-US"/>
              </w:rPr>
              <w:t xml:space="preserve"> ID</w:t>
            </w:r>
          </w:p>
        </w:tc>
        <w:tc>
          <w:tcPr>
            <w:tcW w:w="1608" w:type="dxa"/>
            <w:gridSpan w:val="2"/>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 xml:space="preserve">CA Configuration / </w:t>
            </w:r>
            <w:proofErr w:type="spellStart"/>
            <w:r w:rsidRPr="001C4EB0">
              <w:rPr>
                <w:highlight w:val="lightGray"/>
                <w:lang w:eastAsia="en-US"/>
              </w:rPr>
              <w:t>N</w:t>
            </w:r>
            <w:r w:rsidRPr="001C4EB0">
              <w:rPr>
                <w:highlight w:val="lightGray"/>
                <w:vertAlign w:val="subscript"/>
                <w:lang w:eastAsia="en-US"/>
              </w:rPr>
              <w:t>RB_agg</w:t>
            </w:r>
            <w:proofErr w:type="spellEnd"/>
          </w:p>
        </w:tc>
        <w:tc>
          <w:tcPr>
            <w:tcW w:w="1369"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DL Allocation</w:t>
            </w:r>
          </w:p>
          <w:p w:rsidR="00DA3613" w:rsidRPr="001C4EB0" w:rsidRDefault="00DA3613" w:rsidP="00DA3613">
            <w:pPr>
              <w:pStyle w:val="TAH"/>
              <w:ind w:firstLine="480"/>
              <w:rPr>
                <w:highlight w:val="lightGray"/>
                <w:lang w:eastAsia="en-US"/>
              </w:rPr>
            </w:pPr>
            <w:r w:rsidRPr="001C4EB0">
              <w:rPr>
                <w:highlight w:val="lightGray"/>
                <w:lang w:eastAsia="en-US"/>
              </w:rPr>
              <w:t>(PDCCH on PCC)</w:t>
            </w:r>
          </w:p>
        </w:tc>
        <w:tc>
          <w:tcPr>
            <w:tcW w:w="779" w:type="dxa"/>
            <w:vMerge w:val="restart"/>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CC</w:t>
            </w:r>
            <w:r w:rsidRPr="001C4EB0">
              <w:rPr>
                <w:highlight w:val="lightGray"/>
                <w:lang w:eastAsia="en-US"/>
              </w:rPr>
              <w:br/>
              <w:t>MOD</w:t>
            </w:r>
          </w:p>
        </w:tc>
        <w:tc>
          <w:tcPr>
            <w:tcW w:w="4180" w:type="dxa"/>
            <w:gridSpan w:val="5"/>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UL Allocation</w:t>
            </w:r>
          </w:p>
        </w:tc>
      </w:tr>
      <w:tr w:rsidR="00DA3613" w:rsidRPr="001C4EB0" w:rsidTr="000229CD">
        <w:trPr>
          <w:jc w:val="center"/>
        </w:trPr>
        <w:tc>
          <w:tcPr>
            <w:tcW w:w="786" w:type="dxa"/>
            <w:vMerge/>
            <w:shd w:val="clear" w:color="auto" w:fill="auto"/>
          </w:tcPr>
          <w:p w:rsidR="00DA3613" w:rsidRPr="001C4EB0" w:rsidRDefault="00DA3613" w:rsidP="000229CD">
            <w:pPr>
              <w:rPr>
                <w:rFonts w:eastAsia="Malgun Gothic" w:cs="Arial"/>
                <w:color w:val="000000"/>
                <w:highlight w:val="lightGray"/>
              </w:rPr>
            </w:pPr>
          </w:p>
        </w:tc>
        <w:tc>
          <w:tcPr>
            <w:tcW w:w="720" w:type="dxa"/>
            <w:shd w:val="clear" w:color="auto" w:fill="auto"/>
          </w:tcPr>
          <w:p w:rsidR="00DA3613" w:rsidRPr="001C4EB0" w:rsidRDefault="00DA3613" w:rsidP="00DA3613">
            <w:pPr>
              <w:pStyle w:val="TAH"/>
              <w:ind w:firstLine="480"/>
              <w:rPr>
                <w:highlight w:val="lightGray"/>
                <w:vertAlign w:val="subscript"/>
                <w:lang w:eastAsia="en-US"/>
              </w:rPr>
            </w:pPr>
            <w:r w:rsidRPr="001C4EB0">
              <w:rPr>
                <w:highlight w:val="lightGray"/>
                <w:lang w:eastAsia="en-US"/>
              </w:rPr>
              <w:t>PCC</w:t>
            </w:r>
            <w:r w:rsidRPr="001C4EB0">
              <w:rPr>
                <w:highlight w:val="lightGray"/>
                <w:lang w:eastAsia="en-US"/>
              </w:rPr>
              <w:br/>
              <w:t>N</w:t>
            </w:r>
            <w:r w:rsidRPr="001C4EB0">
              <w:rPr>
                <w:highlight w:val="lightGray"/>
                <w:vertAlign w:val="subscript"/>
                <w:lang w:eastAsia="en-US"/>
              </w:rPr>
              <w:t>RB</w:t>
            </w:r>
          </w:p>
          <w:p w:rsidR="00DA3613" w:rsidRPr="001C4EB0" w:rsidRDefault="00DA3613" w:rsidP="00DA3613">
            <w:pPr>
              <w:pStyle w:val="TAH"/>
              <w:ind w:firstLine="480"/>
              <w:rPr>
                <w:highlight w:val="lightGray"/>
                <w:vertAlign w:val="subscript"/>
                <w:lang w:eastAsia="en-US"/>
              </w:rPr>
            </w:pPr>
            <w:r w:rsidRPr="001C4EB0">
              <w:rPr>
                <w:highlight w:val="lightGray"/>
                <w:lang w:eastAsia="en-US"/>
              </w:rPr>
              <w:t xml:space="preserve">Note </w:t>
            </w:r>
            <w:r w:rsidRPr="001C4EB0">
              <w:rPr>
                <w:rFonts w:eastAsia="Malgun Gothic"/>
                <w:highlight w:val="lightGray"/>
              </w:rPr>
              <w:t>1</w:t>
            </w:r>
          </w:p>
        </w:tc>
        <w:tc>
          <w:tcPr>
            <w:tcW w:w="888"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SCCs</w:t>
            </w:r>
            <w:r w:rsidRPr="001C4EB0">
              <w:rPr>
                <w:highlight w:val="lightGray"/>
                <w:lang w:eastAsia="en-US"/>
              </w:rPr>
              <w:br/>
              <w:t>N</w:t>
            </w:r>
            <w:r w:rsidRPr="001C4EB0">
              <w:rPr>
                <w:highlight w:val="lightGray"/>
                <w:vertAlign w:val="subscript"/>
                <w:lang w:eastAsia="en-US"/>
              </w:rPr>
              <w:t>RB</w:t>
            </w:r>
            <w:r w:rsidRPr="001C4EB0">
              <w:rPr>
                <w:highlight w:val="lightGray"/>
                <w:lang w:eastAsia="en-US"/>
              </w:rPr>
              <w:t xml:space="preserve"> Note </w:t>
            </w:r>
            <w:r w:rsidRPr="001C4EB0">
              <w:rPr>
                <w:rFonts w:eastAsia="Malgun Gothic"/>
                <w:highlight w:val="lightGray"/>
              </w:rPr>
              <w:t>1</w:t>
            </w:r>
          </w:p>
        </w:tc>
        <w:tc>
          <w:tcPr>
            <w:tcW w:w="1369"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PCC &amp; SCC RB allocation</w:t>
            </w:r>
          </w:p>
        </w:tc>
        <w:tc>
          <w:tcPr>
            <w:tcW w:w="779" w:type="dxa"/>
            <w:vMerge/>
            <w:shd w:val="clear" w:color="auto" w:fill="auto"/>
          </w:tcPr>
          <w:p w:rsidR="00DA3613" w:rsidRPr="001C4EB0" w:rsidRDefault="00DA3613" w:rsidP="00DA3613">
            <w:pPr>
              <w:pStyle w:val="TAH"/>
              <w:ind w:firstLine="480"/>
              <w:rPr>
                <w:rFonts w:eastAsia="Malgun Gothic"/>
                <w:highlight w:val="lightGray"/>
                <w:lang w:eastAsia="en-US"/>
              </w:rPr>
            </w:pPr>
          </w:p>
        </w:tc>
        <w:tc>
          <w:tcPr>
            <w:tcW w:w="860" w:type="dxa"/>
            <w:shd w:val="clear" w:color="auto" w:fill="auto"/>
          </w:tcPr>
          <w:p w:rsidR="00DA3613" w:rsidRPr="001C4EB0" w:rsidRDefault="00DA3613" w:rsidP="00DA3613">
            <w:pPr>
              <w:pStyle w:val="TAH"/>
              <w:ind w:firstLine="480"/>
              <w:rPr>
                <w:highlight w:val="lightGray"/>
                <w:lang w:eastAsia="en-US"/>
              </w:rPr>
            </w:pPr>
            <w:proofErr w:type="spellStart"/>
            <w:r w:rsidRPr="001C4EB0">
              <w:rPr>
                <w:highlight w:val="lightGray"/>
                <w:lang w:eastAsia="en-US"/>
              </w:rPr>
              <w:t>N</w:t>
            </w:r>
            <w:r w:rsidRPr="001C4EB0">
              <w:rPr>
                <w:highlight w:val="lightGray"/>
                <w:vertAlign w:val="subscript"/>
                <w:lang w:eastAsia="en-US"/>
              </w:rPr>
              <w:t>RB_alloc</w:t>
            </w:r>
            <w:proofErr w:type="spellEnd"/>
          </w:p>
        </w:tc>
        <w:tc>
          <w:tcPr>
            <w:tcW w:w="3320" w:type="dxa"/>
            <w:gridSpan w:val="4"/>
            <w:shd w:val="clear" w:color="auto" w:fill="auto"/>
          </w:tcPr>
          <w:p w:rsidR="00DA3613" w:rsidRPr="001C4EB0" w:rsidRDefault="00DA3613" w:rsidP="00DA3613">
            <w:pPr>
              <w:pStyle w:val="TAH"/>
              <w:ind w:firstLine="480"/>
              <w:rPr>
                <w:highlight w:val="lightGray"/>
                <w:lang w:eastAsia="en-US"/>
              </w:rPr>
            </w:pPr>
            <w:r w:rsidRPr="001C4EB0">
              <w:rPr>
                <w:bCs/>
                <w:highlight w:val="lightGray"/>
                <w:lang w:eastAsia="en-US"/>
              </w:rPr>
              <w:t>PCC &amp; SCC RB allocations</w:t>
            </w:r>
            <w:r w:rsidRPr="001C4EB0">
              <w:rPr>
                <w:bCs/>
                <w:highlight w:val="lightGray"/>
                <w:lang w:eastAsia="en-US"/>
              </w:rPr>
              <w:br/>
              <w:t>(L</w:t>
            </w:r>
            <w:r w:rsidRPr="001C4EB0">
              <w:rPr>
                <w:bCs/>
                <w:highlight w:val="lightGray"/>
                <w:vertAlign w:val="subscript"/>
                <w:lang w:eastAsia="en-US"/>
              </w:rPr>
              <w:t>CRB</w:t>
            </w:r>
            <w:r w:rsidRPr="001C4EB0">
              <w:rPr>
                <w:bCs/>
                <w:highlight w:val="lightGray"/>
                <w:lang w:eastAsia="en-US"/>
              </w:rPr>
              <w:t xml:space="preserve"> @ </w:t>
            </w:r>
            <w:proofErr w:type="spellStart"/>
            <w:r w:rsidRPr="001C4EB0">
              <w:rPr>
                <w:bCs/>
                <w:highlight w:val="lightGray"/>
                <w:lang w:eastAsia="en-US"/>
              </w:rPr>
              <w:t>RB</w:t>
            </w:r>
            <w:r w:rsidRPr="001C4EB0">
              <w:rPr>
                <w:bCs/>
                <w:highlight w:val="lightGray"/>
                <w:vertAlign w:val="subscript"/>
                <w:lang w:eastAsia="en-US"/>
              </w:rPr>
              <w:t>start</w:t>
            </w:r>
            <w:proofErr w:type="spellEnd"/>
            <w:r w:rsidRPr="001C4EB0">
              <w:rPr>
                <w:bCs/>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lastRenderedPageBreak/>
              <w:t>1</w:t>
            </w:r>
          </w:p>
        </w:tc>
        <w:tc>
          <w:tcPr>
            <w:tcW w:w="72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25</w:t>
            </w:r>
          </w:p>
        </w:tc>
        <w:tc>
          <w:tcPr>
            <w:tcW w:w="1369" w:type="dxa"/>
            <w:vMerge w:val="restart"/>
            <w:shd w:val="clear" w:color="auto" w:fill="auto"/>
            <w:vAlign w:val="center"/>
          </w:tcPr>
          <w:p w:rsidR="00DA3613" w:rsidRPr="001C4EB0" w:rsidRDefault="00DA3613" w:rsidP="000229CD">
            <w:pPr>
              <w:pStyle w:val="TAL"/>
              <w:rPr>
                <w:highlight w:val="lightGray"/>
                <w:lang w:eastAsia="en-US"/>
              </w:rPr>
            </w:pPr>
            <w:r w:rsidRPr="001C4EB0">
              <w:rPr>
                <w:highlight w:val="lightGray"/>
                <w:lang w:eastAsia="en-US"/>
              </w:rPr>
              <w:t>NA</w:t>
            </w: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5</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w:t>
            </w:r>
            <w:r w:rsidRPr="001C4EB0">
              <w:rPr>
                <w:highlight w:val="lightGray"/>
                <w:lang w:eastAsia="zh-CN"/>
              </w:rPr>
              <w:t>5</w:t>
            </w:r>
            <w:r w:rsidRPr="001C4EB0">
              <w:rPr>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2</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3</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w:t>
            </w:r>
            <w:r w:rsidRPr="001C4EB0">
              <w:rPr>
                <w:rFonts w:cs="Arial"/>
                <w:szCs w:val="18"/>
                <w:highlight w:val="lightGray"/>
                <w:lang w:eastAsia="en-US"/>
              </w:rPr>
              <w:t>@</w:t>
            </w:r>
            <w:r w:rsidRPr="001C4EB0">
              <w:rPr>
                <w:rFonts w:cs="Arial"/>
                <w:szCs w:val="18"/>
                <w:highlight w:val="lightGray"/>
                <w:lang w:eastAsia="zh-CN"/>
              </w:rPr>
              <w:t>5</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5</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w:t>
            </w:r>
            <w:r w:rsidRPr="001C4EB0">
              <w:rPr>
                <w:rFonts w:cs="Arial"/>
                <w:szCs w:val="18"/>
                <w:highlight w:val="lightGray"/>
                <w:lang w:eastAsia="zh-CN"/>
              </w:rPr>
              <w:t>11</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6</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7</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w:t>
            </w:r>
            <w:r w:rsidRPr="001C4EB0">
              <w:rPr>
                <w:rFonts w:cs="Arial"/>
                <w:szCs w:val="18"/>
                <w:highlight w:val="lightGray"/>
                <w:lang w:eastAsia="zh-CN"/>
              </w:rPr>
              <w:t>11</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8</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6</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9</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6</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10</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11</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12</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13</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15</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16</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17</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18</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19</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20</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21</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highlight w:val="lightGray"/>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22</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23</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75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75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16</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16</w:t>
            </w:r>
            <w:r w:rsidRPr="001C4EB0">
              <w:rPr>
                <w:rFonts w:cs="Arial"/>
                <w:szCs w:val="18"/>
                <w:highlight w:val="lightGray"/>
                <w:lang w:eastAsia="en-US"/>
              </w:rPr>
              <w:t>@</w:t>
            </w:r>
            <w:r w:rsidRPr="001C4EB0">
              <w:rPr>
                <w:rFonts w:cs="Arial"/>
                <w:szCs w:val="18"/>
                <w:highlight w:val="lightGray"/>
                <w:lang w:eastAsia="zh-CN"/>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25</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75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75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16</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P_16@59</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26</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w:t>
            </w:r>
            <w:r w:rsidRPr="001C4EB0">
              <w:rPr>
                <w:highlight w:val="lightGray"/>
                <w:lang w:eastAsia="zh-CN"/>
              </w:rPr>
              <w:t>8</w:t>
            </w:r>
            <w:r w:rsidRPr="001C4EB0">
              <w:rPr>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27</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zh-CN"/>
              </w:rPr>
            </w:pPr>
            <w:r w:rsidRPr="001C4EB0">
              <w:rPr>
                <w:highlight w:val="lightGray"/>
                <w:lang w:eastAsia="en-US"/>
              </w:rPr>
              <w:t>P_1</w:t>
            </w:r>
            <w:r w:rsidRPr="001C4EB0">
              <w:rPr>
                <w:highlight w:val="lightGray"/>
                <w:lang w:eastAsia="zh-CN"/>
              </w:rPr>
              <w:t>8</w:t>
            </w:r>
            <w:r w:rsidRPr="001C4EB0">
              <w:rPr>
                <w:highlight w:val="lightGray"/>
                <w:lang w:eastAsia="en-US"/>
              </w:rPr>
              <w:t>@8</w:t>
            </w:r>
            <w:r w:rsidRPr="001C4EB0">
              <w:rPr>
                <w:highlight w:val="lightGray"/>
                <w:lang w:eastAsia="zh-CN"/>
              </w:rPr>
              <w:t>2</w:t>
            </w:r>
          </w:p>
        </w:tc>
        <w:tc>
          <w:tcPr>
            <w:tcW w:w="1220" w:type="dxa"/>
            <w:shd w:val="clear" w:color="auto" w:fill="auto"/>
          </w:tcPr>
          <w:p w:rsidR="00DA3613" w:rsidRPr="001C4EB0" w:rsidRDefault="00DA3613" w:rsidP="000229CD">
            <w:pPr>
              <w:pStyle w:val="TAC"/>
              <w:rPr>
                <w:highlight w:val="lightGray"/>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28</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P_18@0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29</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P_18@82</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30</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25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75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31</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25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75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Malgun Gothic"/>
                <w:highlight w:val="lightGray"/>
                <w:lang w:eastAsia="en-US"/>
              </w:rPr>
              <w:t>X+1</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75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25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zh-CN"/>
              </w:rPr>
              <w:t>16</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P_16@0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Malgun Gothic"/>
                <w:highlight w:val="lightGray"/>
                <w:lang w:eastAsia="en-US"/>
              </w:rPr>
              <w:t>X+2</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75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25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zh-CN"/>
              </w:rPr>
              <w:t>16</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P_16@59</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777AF8" w:rsidTr="000229CD">
        <w:trPr>
          <w:jc w:val="center"/>
        </w:trPr>
        <w:tc>
          <w:tcPr>
            <w:tcW w:w="8722" w:type="dxa"/>
            <w:gridSpan w:val="10"/>
            <w:shd w:val="clear" w:color="auto" w:fill="auto"/>
          </w:tcPr>
          <w:p w:rsidR="00DA3613" w:rsidRPr="001C4EB0" w:rsidRDefault="00DA3613" w:rsidP="000229CD">
            <w:pPr>
              <w:pStyle w:val="TAN"/>
              <w:rPr>
                <w:highlight w:val="lightGray"/>
              </w:rPr>
            </w:pPr>
            <w:r w:rsidRPr="001C4EB0">
              <w:rPr>
                <w:highlight w:val="lightGray"/>
              </w:rPr>
              <w:t>Note 1:</w:t>
            </w:r>
            <w:r w:rsidRPr="001C4EB0">
              <w:rPr>
                <w:highlight w:val="lightGray"/>
              </w:rPr>
              <w:tab/>
              <w:t>CA Configuration Test CC Combination settings are checked separately for each CA Configuration, which applicable aggregated channel bandwidths are specified in Table 5.4.2A.1-</w:t>
            </w:r>
            <w:r w:rsidRPr="001C4EB0">
              <w:rPr>
                <w:highlight w:val="lightGray"/>
                <w:lang w:eastAsia="zh-CN"/>
              </w:rPr>
              <w:t>2</w:t>
            </w:r>
            <w:r w:rsidRPr="001C4EB0">
              <w:rPr>
                <w:highlight w:val="lightGray"/>
              </w:rPr>
              <w:t xml:space="preserve">. </w:t>
            </w:r>
          </w:p>
          <w:p w:rsidR="00DA3613" w:rsidRPr="00777AF8" w:rsidRDefault="00DA3613" w:rsidP="000229CD">
            <w:pPr>
              <w:pStyle w:val="TAN"/>
            </w:pPr>
            <w:r w:rsidRPr="001C4EB0">
              <w:rPr>
                <w:highlight w:val="lightGray"/>
              </w:rPr>
              <w:t>Note 2:</w:t>
            </w:r>
            <w:r w:rsidRPr="001C4EB0">
              <w:rPr>
                <w:highlight w:val="lightGray"/>
              </w:rPr>
              <w:tab/>
              <w:t xml:space="preserve">The frequencies of </w:t>
            </w:r>
            <w:r w:rsidRPr="001C4EB0">
              <w:rPr>
                <w:rFonts w:eastAsia="MS PGothic" w:cs="Arial"/>
                <w:szCs w:val="18"/>
                <w:highlight w:val="lightGray"/>
              </w:rPr>
              <w:t>PCC and SCC shall be switched and tested in each configuration.</w:t>
            </w:r>
          </w:p>
        </w:tc>
      </w:tr>
    </w:tbl>
    <w:p w:rsidR="00DA3613" w:rsidRPr="00C80739"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A7569B">
        <w:rPr>
          <w:rFonts w:hint="eastAsia"/>
        </w:rPr>
        <w:t>carrier leakage</w:t>
      </w:r>
      <w:r>
        <w:rPr>
          <w:rFonts w:hint="eastAsia"/>
        </w:rPr>
        <w:t xml:space="preserve"> for single carrier mode is defined as table below.</w:t>
      </w:r>
    </w:p>
    <w:p w:rsidR="001C4EB0" w:rsidRPr="001C4EB0" w:rsidRDefault="001C4EB0" w:rsidP="001C4EB0">
      <w:pPr>
        <w:pStyle w:val="TH"/>
        <w:rPr>
          <w:highlight w:val="lightGray"/>
        </w:rPr>
      </w:pPr>
      <w:r w:rsidRPr="001C4EB0">
        <w:rPr>
          <w:highlight w:val="lightGray"/>
        </w:rPr>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3276"/>
        <w:gridCol w:w="2273"/>
        <w:gridCol w:w="3221"/>
      </w:tblGrid>
      <w:tr w:rsidR="001C4EB0" w:rsidRPr="001C4EB0" w:rsidTr="000229CD">
        <w:tc>
          <w:tcPr>
            <w:tcW w:w="5000" w:type="pct"/>
            <w:gridSpan w:val="4"/>
            <w:shd w:val="clear" w:color="auto" w:fill="auto"/>
          </w:tcPr>
          <w:p w:rsidR="001C4EB0" w:rsidRPr="001C4EB0" w:rsidRDefault="001C4EB0" w:rsidP="000229CD">
            <w:pPr>
              <w:pStyle w:val="TAH"/>
              <w:rPr>
                <w:highlight w:val="lightGray"/>
              </w:rPr>
            </w:pPr>
            <w:r w:rsidRPr="001C4EB0">
              <w:rPr>
                <w:highlight w:val="lightGray"/>
              </w:rPr>
              <w:t>Initial Conditions</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 xml:space="preserve">Test Environment as specified in TS 38.508-1 [5] </w:t>
            </w:r>
            <w:proofErr w:type="spellStart"/>
            <w:r w:rsidRPr="001C4EB0">
              <w:rPr>
                <w:highlight w:val="lightGray"/>
              </w:rPr>
              <w:t>subclause</w:t>
            </w:r>
            <w:proofErr w:type="spellEnd"/>
            <w:r w:rsidRPr="001C4EB0">
              <w:rPr>
                <w:highlight w:val="lightGray"/>
              </w:rPr>
              <w:t xml:space="preserve"> 4.1</w:t>
            </w:r>
          </w:p>
        </w:tc>
        <w:tc>
          <w:tcPr>
            <w:tcW w:w="2811" w:type="pct"/>
            <w:gridSpan w:val="2"/>
          </w:tcPr>
          <w:p w:rsidR="001C4EB0" w:rsidRPr="001C4EB0" w:rsidRDefault="001C4EB0" w:rsidP="000229CD">
            <w:pPr>
              <w:pStyle w:val="TAL"/>
              <w:rPr>
                <w:highlight w:val="lightGray"/>
              </w:rPr>
            </w:pPr>
            <w:r w:rsidRPr="001C4EB0">
              <w:rPr>
                <w:highlight w:val="lightGray"/>
              </w:rPr>
              <w:t>Normal</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 xml:space="preserve">Test Frequencies as specified in TS 38.508-1 [5] </w:t>
            </w:r>
            <w:proofErr w:type="spellStart"/>
            <w:r w:rsidRPr="001C4EB0">
              <w:rPr>
                <w:highlight w:val="lightGray"/>
              </w:rPr>
              <w:t>subclause</w:t>
            </w:r>
            <w:proofErr w:type="spellEnd"/>
            <w:r w:rsidRPr="001C4EB0">
              <w:rPr>
                <w:highlight w:val="lightGray"/>
              </w:rPr>
              <w:t xml:space="preserve"> 4.3.1</w:t>
            </w:r>
          </w:p>
        </w:tc>
        <w:tc>
          <w:tcPr>
            <w:tcW w:w="2811" w:type="pct"/>
            <w:gridSpan w:val="2"/>
          </w:tcPr>
          <w:p w:rsidR="001C4EB0" w:rsidRPr="001C4EB0" w:rsidRDefault="001C4EB0" w:rsidP="000229CD">
            <w:pPr>
              <w:pStyle w:val="TAL"/>
              <w:rPr>
                <w:highlight w:val="lightGray"/>
                <w:lang w:eastAsia="zh-CN"/>
              </w:rPr>
            </w:pPr>
            <w:r w:rsidRPr="001C4EB0">
              <w:rPr>
                <w:highlight w:val="lightGray"/>
              </w:rPr>
              <w:t xml:space="preserve">Low range, </w:t>
            </w:r>
            <w:proofErr w:type="spellStart"/>
            <w:r w:rsidRPr="001C4EB0">
              <w:rPr>
                <w:highlight w:val="lightGray"/>
              </w:rPr>
              <w:t>Mid range</w:t>
            </w:r>
            <w:proofErr w:type="spellEnd"/>
            <w:r w:rsidRPr="001C4EB0">
              <w:rPr>
                <w:highlight w:val="lightGray"/>
              </w:rPr>
              <w:t>, High range</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 xml:space="preserve">Test Channel Bandwidths as specified in TS 38.508-1 [5] </w:t>
            </w:r>
            <w:proofErr w:type="spellStart"/>
            <w:r w:rsidRPr="001C4EB0">
              <w:rPr>
                <w:highlight w:val="lightGray"/>
              </w:rPr>
              <w:t>subclause</w:t>
            </w:r>
            <w:proofErr w:type="spellEnd"/>
            <w:r w:rsidRPr="001C4EB0">
              <w:rPr>
                <w:highlight w:val="lightGray"/>
              </w:rPr>
              <w:t xml:space="preserve"> 4.3.1</w:t>
            </w:r>
          </w:p>
        </w:tc>
        <w:tc>
          <w:tcPr>
            <w:tcW w:w="2811" w:type="pct"/>
            <w:gridSpan w:val="2"/>
          </w:tcPr>
          <w:p w:rsidR="001C4EB0" w:rsidRPr="001C4EB0" w:rsidRDefault="001C4EB0" w:rsidP="000229CD">
            <w:pPr>
              <w:pStyle w:val="TAL"/>
              <w:rPr>
                <w:highlight w:val="lightGray"/>
              </w:rPr>
            </w:pPr>
            <w:r w:rsidRPr="001C4EB0">
              <w:rPr>
                <w:highlight w:val="lightGray"/>
              </w:rPr>
              <w:t>Mid</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Test SCS as specified in Table 5.3.5-1</w:t>
            </w:r>
          </w:p>
        </w:tc>
        <w:tc>
          <w:tcPr>
            <w:tcW w:w="2811" w:type="pct"/>
            <w:gridSpan w:val="2"/>
          </w:tcPr>
          <w:p w:rsidR="001C4EB0" w:rsidRPr="001C4EB0" w:rsidRDefault="001C4EB0" w:rsidP="000229CD">
            <w:pPr>
              <w:pStyle w:val="TAL"/>
              <w:rPr>
                <w:highlight w:val="lightGray"/>
              </w:rPr>
            </w:pPr>
            <w:r w:rsidRPr="001C4EB0">
              <w:rPr>
                <w:highlight w:val="lightGray"/>
              </w:rPr>
              <w:t>Smallest supported SCS per Channel Bandwidth</w:t>
            </w:r>
          </w:p>
        </w:tc>
      </w:tr>
      <w:tr w:rsidR="001C4EB0" w:rsidRPr="001C4EB0" w:rsidTr="000229CD">
        <w:tc>
          <w:tcPr>
            <w:tcW w:w="5000" w:type="pct"/>
            <w:gridSpan w:val="4"/>
            <w:shd w:val="clear" w:color="auto" w:fill="auto"/>
          </w:tcPr>
          <w:p w:rsidR="001C4EB0" w:rsidRPr="001C4EB0" w:rsidRDefault="001C4EB0" w:rsidP="000229CD">
            <w:pPr>
              <w:pStyle w:val="TAH"/>
              <w:rPr>
                <w:highlight w:val="lightGray"/>
              </w:rPr>
            </w:pPr>
            <w:r w:rsidRPr="001C4EB0">
              <w:rPr>
                <w:highlight w:val="lightGray"/>
              </w:rPr>
              <w:t>Test Parameters</w:t>
            </w:r>
          </w:p>
        </w:tc>
      </w:tr>
      <w:tr w:rsidR="001C4EB0" w:rsidRPr="001C4EB0" w:rsidTr="000229CD">
        <w:tc>
          <w:tcPr>
            <w:tcW w:w="513" w:type="pct"/>
            <w:shd w:val="clear" w:color="auto" w:fill="auto"/>
          </w:tcPr>
          <w:p w:rsidR="001C4EB0" w:rsidRPr="001C4EB0" w:rsidRDefault="001C4EB0" w:rsidP="000229CD">
            <w:pPr>
              <w:pStyle w:val="TAH"/>
              <w:rPr>
                <w:highlight w:val="lightGray"/>
              </w:rPr>
            </w:pPr>
            <w:r w:rsidRPr="001C4EB0">
              <w:rPr>
                <w:highlight w:val="lightGray"/>
              </w:rPr>
              <w:t>Test ID</w:t>
            </w:r>
          </w:p>
        </w:tc>
        <w:tc>
          <w:tcPr>
            <w:tcW w:w="1676" w:type="pct"/>
            <w:tcBorders>
              <w:bottom w:val="single" w:sz="4" w:space="0" w:color="auto"/>
            </w:tcBorders>
            <w:shd w:val="clear" w:color="auto" w:fill="auto"/>
          </w:tcPr>
          <w:p w:rsidR="001C4EB0" w:rsidRPr="001C4EB0" w:rsidRDefault="001C4EB0" w:rsidP="000229CD">
            <w:pPr>
              <w:pStyle w:val="TAH"/>
              <w:rPr>
                <w:highlight w:val="lightGray"/>
              </w:rPr>
            </w:pPr>
            <w:r w:rsidRPr="001C4EB0">
              <w:rPr>
                <w:highlight w:val="lightGray"/>
              </w:rPr>
              <w:t>Downlink Configuration</w:t>
            </w:r>
          </w:p>
        </w:tc>
        <w:tc>
          <w:tcPr>
            <w:tcW w:w="2811" w:type="pct"/>
            <w:gridSpan w:val="2"/>
          </w:tcPr>
          <w:p w:rsidR="001C4EB0" w:rsidRPr="001C4EB0" w:rsidRDefault="001C4EB0" w:rsidP="000229CD">
            <w:pPr>
              <w:pStyle w:val="TAH"/>
              <w:rPr>
                <w:highlight w:val="lightGray"/>
              </w:rPr>
            </w:pPr>
            <w:r w:rsidRPr="001C4EB0">
              <w:rPr>
                <w:highlight w:val="lightGray"/>
              </w:rPr>
              <w:t>Uplink Configuration</w:t>
            </w:r>
          </w:p>
        </w:tc>
      </w:tr>
      <w:tr w:rsidR="001C4EB0" w:rsidRPr="001C4EB0" w:rsidTr="000229CD">
        <w:trPr>
          <w:trHeight w:val="300"/>
        </w:trPr>
        <w:tc>
          <w:tcPr>
            <w:tcW w:w="513" w:type="pct"/>
            <w:shd w:val="clear" w:color="auto" w:fill="auto"/>
          </w:tcPr>
          <w:p w:rsidR="001C4EB0" w:rsidRPr="001C4EB0" w:rsidRDefault="001C4EB0" w:rsidP="000229CD">
            <w:pPr>
              <w:pStyle w:val="TAH"/>
              <w:rPr>
                <w:highlight w:val="lightGray"/>
              </w:rPr>
            </w:pPr>
          </w:p>
        </w:tc>
        <w:tc>
          <w:tcPr>
            <w:tcW w:w="1676" w:type="pct"/>
            <w:tcBorders>
              <w:bottom w:val="nil"/>
            </w:tcBorders>
            <w:shd w:val="clear" w:color="auto" w:fill="auto"/>
            <w:vAlign w:val="center"/>
          </w:tcPr>
          <w:p w:rsidR="001C4EB0" w:rsidRPr="001C4EB0" w:rsidRDefault="001C4EB0" w:rsidP="000229CD">
            <w:pPr>
              <w:pStyle w:val="TAC"/>
              <w:rPr>
                <w:highlight w:val="lightGray"/>
              </w:rPr>
            </w:pPr>
            <w:r w:rsidRPr="001C4EB0">
              <w:rPr>
                <w:highlight w:val="lightGray"/>
              </w:rPr>
              <w:t>N/A</w:t>
            </w:r>
          </w:p>
        </w:tc>
        <w:tc>
          <w:tcPr>
            <w:tcW w:w="1163" w:type="pct"/>
          </w:tcPr>
          <w:p w:rsidR="001C4EB0" w:rsidRPr="001C4EB0" w:rsidRDefault="001C4EB0" w:rsidP="000229CD">
            <w:pPr>
              <w:pStyle w:val="TAH"/>
              <w:rPr>
                <w:highlight w:val="lightGray"/>
              </w:rPr>
            </w:pPr>
            <w:r w:rsidRPr="001C4EB0">
              <w:rPr>
                <w:highlight w:val="lightGray"/>
              </w:rPr>
              <w:t>Modulation</w:t>
            </w:r>
          </w:p>
        </w:tc>
        <w:tc>
          <w:tcPr>
            <w:tcW w:w="1648" w:type="pct"/>
            <w:shd w:val="clear" w:color="auto" w:fill="auto"/>
          </w:tcPr>
          <w:p w:rsidR="001C4EB0" w:rsidRPr="001C4EB0" w:rsidRDefault="001C4EB0" w:rsidP="000229CD">
            <w:pPr>
              <w:pStyle w:val="TAH"/>
              <w:rPr>
                <w:highlight w:val="lightGray"/>
              </w:rPr>
            </w:pPr>
            <w:r w:rsidRPr="001C4EB0">
              <w:rPr>
                <w:highlight w:val="lightGray"/>
              </w:rPr>
              <w:t>RB allocation (NOTE 1, 3)</w:t>
            </w:r>
          </w:p>
        </w:tc>
      </w:tr>
      <w:tr w:rsidR="001C4EB0" w:rsidRPr="001C4EB0" w:rsidTr="000229CD">
        <w:trPr>
          <w:trHeight w:val="255"/>
        </w:trPr>
        <w:tc>
          <w:tcPr>
            <w:tcW w:w="513" w:type="pct"/>
            <w:shd w:val="clear" w:color="auto" w:fill="auto"/>
          </w:tcPr>
          <w:p w:rsidR="001C4EB0" w:rsidRPr="001C4EB0" w:rsidRDefault="001C4EB0" w:rsidP="000229CD">
            <w:pPr>
              <w:pStyle w:val="TAC"/>
              <w:rPr>
                <w:highlight w:val="lightGray"/>
              </w:rPr>
            </w:pPr>
            <w:r w:rsidRPr="001C4EB0">
              <w:rPr>
                <w:highlight w:val="lightGray"/>
              </w:rPr>
              <w:t>1</w:t>
            </w:r>
          </w:p>
        </w:tc>
        <w:tc>
          <w:tcPr>
            <w:tcW w:w="1676" w:type="pct"/>
            <w:tcBorders>
              <w:top w:val="nil"/>
              <w:bottom w:val="nil"/>
            </w:tcBorders>
            <w:shd w:val="clear" w:color="auto" w:fill="auto"/>
          </w:tcPr>
          <w:p w:rsidR="001C4EB0" w:rsidRPr="001C4EB0" w:rsidRDefault="001C4EB0" w:rsidP="000229CD">
            <w:pPr>
              <w:pStyle w:val="TAC"/>
              <w:rPr>
                <w:highlight w:val="lightGray"/>
              </w:rPr>
            </w:pPr>
          </w:p>
        </w:tc>
        <w:tc>
          <w:tcPr>
            <w:tcW w:w="1163" w:type="pct"/>
          </w:tcPr>
          <w:p w:rsidR="001C4EB0" w:rsidRPr="001C4EB0" w:rsidRDefault="001C4EB0" w:rsidP="000229CD">
            <w:pPr>
              <w:pStyle w:val="TAC"/>
              <w:rPr>
                <w:highlight w:val="lightGray"/>
              </w:rPr>
            </w:pPr>
            <w:r w:rsidRPr="001C4EB0">
              <w:rPr>
                <w:highlight w:val="lightGray"/>
              </w:rPr>
              <w:t>DFT-s-OFDM QPSK</w:t>
            </w:r>
          </w:p>
        </w:tc>
        <w:tc>
          <w:tcPr>
            <w:tcW w:w="1648" w:type="pct"/>
            <w:shd w:val="clear" w:color="auto" w:fill="auto"/>
          </w:tcPr>
          <w:p w:rsidR="001C4EB0" w:rsidRPr="001C4EB0" w:rsidRDefault="001C4EB0" w:rsidP="000229CD">
            <w:pPr>
              <w:pStyle w:val="TAC"/>
              <w:rPr>
                <w:highlight w:val="lightGray"/>
              </w:rPr>
            </w:pPr>
            <w:r w:rsidRPr="001C4EB0">
              <w:rPr>
                <w:highlight w:val="lightGray"/>
              </w:rPr>
              <w:t>Inner_1RB_Left</w:t>
            </w:r>
          </w:p>
        </w:tc>
      </w:tr>
      <w:tr w:rsidR="001C4EB0" w:rsidRPr="00177219" w:rsidTr="000229CD">
        <w:trPr>
          <w:trHeight w:val="345"/>
        </w:trPr>
        <w:tc>
          <w:tcPr>
            <w:tcW w:w="5000" w:type="pct"/>
            <w:gridSpan w:val="4"/>
          </w:tcPr>
          <w:p w:rsidR="001C4EB0" w:rsidRPr="001C4EB0" w:rsidRDefault="001C4EB0" w:rsidP="000229CD">
            <w:pPr>
              <w:pStyle w:val="TAN"/>
              <w:rPr>
                <w:highlight w:val="lightGray"/>
                <w:lang w:eastAsia="zh-CN"/>
              </w:rPr>
            </w:pPr>
            <w:r w:rsidRPr="001C4EB0">
              <w:rPr>
                <w:highlight w:val="lightGray"/>
                <w:lang w:eastAsia="zh-CN"/>
              </w:rPr>
              <w:t>NOTE 1:</w:t>
            </w:r>
            <w:r w:rsidRPr="001C4EB0">
              <w:rPr>
                <w:highlight w:val="lightGray"/>
                <w:lang w:eastAsia="zh-CN"/>
              </w:rPr>
              <w:tab/>
              <w:t>The specific configuration of each RB allocation is defined in Table 6.1-1.</w:t>
            </w:r>
          </w:p>
          <w:p w:rsidR="001C4EB0" w:rsidRPr="001C4EB0" w:rsidRDefault="001C4EB0" w:rsidP="000229CD">
            <w:pPr>
              <w:pStyle w:val="TAN"/>
              <w:rPr>
                <w:highlight w:val="lightGray"/>
              </w:rPr>
            </w:pPr>
            <w:r w:rsidRPr="001C4EB0">
              <w:rPr>
                <w:highlight w:val="lightGray"/>
              </w:rPr>
              <w:t>NOTE 2:</w:t>
            </w:r>
            <w:r w:rsidRPr="001C4EB0">
              <w:rPr>
                <w:highlight w:val="lightGray"/>
              </w:rPr>
              <w:tab/>
              <w:t>Test Channel Bandwidths are checked separately for each NR band, which applicable channel bandwidths are specified in Table 5.3.5-1.</w:t>
            </w:r>
          </w:p>
          <w:p w:rsidR="001C4EB0" w:rsidRPr="00177219" w:rsidRDefault="001C4EB0" w:rsidP="000229CD">
            <w:pPr>
              <w:pStyle w:val="TAN"/>
            </w:pPr>
            <w:r w:rsidRPr="001C4EB0">
              <w:rPr>
                <w:highlight w:val="lightGray"/>
              </w:rPr>
              <w:t xml:space="preserve">NOTE 3: </w:t>
            </w:r>
            <w:r w:rsidRPr="001C4EB0">
              <w:rPr>
                <w:highlight w:val="lightGray"/>
              </w:rPr>
              <w:tab/>
              <w:t>When the signalled DC carrier position is at Inner_1RB_Left, use Inner_1RB_Right for UL RB allocation.</w:t>
            </w:r>
          </w:p>
        </w:tc>
      </w:tr>
    </w:tbl>
    <w:p w:rsidR="001C4EB0" w:rsidRPr="001C4EB0" w:rsidRDefault="001C4EB0" w:rsidP="001B3133">
      <w:pPr>
        <w:spacing w:afterLines="50" w:after="156"/>
      </w:pPr>
    </w:p>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pPr>
        <w:rPr>
          <w:lang w:eastAsia="en-US"/>
        </w:rPr>
      </w:pPr>
      <w:r>
        <w:rPr>
          <w:lang w:eastAsia="en-US"/>
        </w:rPr>
        <w:t xml:space="preserve">In LTE, Carrier Leakage </w:t>
      </w:r>
      <w:r w:rsidR="00DC7B0B">
        <w:rPr>
          <w:rFonts w:hint="eastAsia"/>
        </w:rPr>
        <w:t xml:space="preserve">for CA </w:t>
      </w:r>
      <w:r>
        <w:rPr>
          <w:lang w:eastAsia="en-US"/>
        </w:rPr>
        <w:t xml:space="preserve">is tested under </w:t>
      </w:r>
      <w:r w:rsidR="00DC7B0B">
        <w:rPr>
          <w:rFonts w:hint="eastAsia"/>
        </w:rPr>
        <w:t>Normal condition</w:t>
      </w:r>
      <w:r>
        <w:rPr>
          <w:lang w:eastAsia="en-US"/>
        </w:rPr>
        <w:t xml:space="preserve">. </w:t>
      </w:r>
      <w:r w:rsidR="00DC7B0B">
        <w:rPr>
          <w:rFonts w:hint="eastAsia"/>
        </w:rPr>
        <w:t>Hence</w:t>
      </w:r>
      <w:r>
        <w:rPr>
          <w:lang w:eastAsia="en-US"/>
        </w:rPr>
        <w:t xml:space="preserve"> it is proposed to apply normal condition as test environment </w:t>
      </w:r>
      <w:r w:rsidR="00DC7B0B">
        <w:rPr>
          <w:rFonts w:hint="eastAsia"/>
        </w:rPr>
        <w:t>to align with LTE case</w:t>
      </w:r>
      <w:r>
        <w:rPr>
          <w:lang w:eastAsia="en-US"/>
        </w:rPr>
        <w:t>.</w:t>
      </w:r>
    </w:p>
    <w:p w:rsidR="001C4EB0" w:rsidRDefault="001C4EB0" w:rsidP="001C4EB0">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r w:rsidR="00DC7B0B">
        <w:rPr>
          <w:rFonts w:hint="eastAsia"/>
        </w:rPr>
        <w:t xml:space="preserve"> for UL inter-band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1C4EB0" w:rsidRDefault="001C4EB0" w:rsidP="001C4EB0">
      <w:pPr>
        <w:rPr>
          <w:lang w:eastAsia="en-US"/>
        </w:rPr>
      </w:pPr>
      <w:r>
        <w:rPr>
          <w:lang w:eastAsia="en-US"/>
        </w:rPr>
        <w:t>As the Carrier Leakage is a sinusoidal unmodulated signal it is not expected that its power level depends on the choice of subcarrier spacing. Smallest SCS is selected as it is the most common one.</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r w:rsidR="00DC7B0B">
        <w:rPr>
          <w:rFonts w:hint="eastAsia"/>
        </w:rPr>
        <w:t xml:space="preserve"> for inter-band UL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1C4EB0" w:rsidRDefault="001C4EB0" w:rsidP="001C4EB0">
      <w:pPr>
        <w:rPr>
          <w:lang w:eastAsia="en-US"/>
        </w:rPr>
      </w:pPr>
      <w:r>
        <w:rPr>
          <w:lang w:eastAsia="en-US"/>
        </w:rPr>
        <w:t>In LTE, Carrier Leakage</w:t>
      </w:r>
      <w:r w:rsidR="00DC7B0B">
        <w:rPr>
          <w:rFonts w:hint="eastAsia"/>
        </w:rPr>
        <w:t xml:space="preserve"> for Inter-band CA</w:t>
      </w:r>
      <w:r>
        <w:rPr>
          <w:lang w:eastAsia="en-US"/>
        </w:rPr>
        <w:t xml:space="preserve"> is tested for Low range</w:t>
      </w:r>
      <w:r w:rsidR="00DC7B0B">
        <w:rPr>
          <w:rFonts w:hint="eastAsia"/>
        </w:rPr>
        <w:t xml:space="preserve"> </w:t>
      </w:r>
      <w:r>
        <w:rPr>
          <w:lang w:eastAsia="en-US"/>
        </w:rPr>
        <w:t xml:space="preserve">and High range. </w:t>
      </w:r>
      <w:r w:rsidR="00DC7B0B">
        <w:rPr>
          <w:rFonts w:hint="eastAsia"/>
        </w:rPr>
        <w:t>T</w:t>
      </w:r>
      <w:r>
        <w:rPr>
          <w:lang w:eastAsia="en-US"/>
        </w:rPr>
        <w:t xml:space="preserve">he same test coverage as for LTE </w:t>
      </w:r>
      <w:r w:rsidR="00DC7B0B">
        <w:rPr>
          <w:rFonts w:hint="eastAsia"/>
        </w:rPr>
        <w:t xml:space="preserve">would be enough </w:t>
      </w:r>
      <w:r>
        <w:rPr>
          <w:lang w:eastAsia="en-US"/>
        </w:rPr>
        <w:t>to ensure that the Carrier Leakage obeys the test requirement</w:t>
      </w:r>
      <w:r w:rsidR="00DC7B0B">
        <w:rPr>
          <w:rFonts w:hint="eastAsia"/>
        </w:rPr>
        <w:t xml:space="preserve"> at low range and high range</w:t>
      </w:r>
      <w:r>
        <w:rPr>
          <w:lang w:eastAsia="en-US"/>
        </w:rPr>
        <w:t xml:space="preserve">. </w:t>
      </w:r>
    </w:p>
    <w:p w:rsidR="001C4EB0" w:rsidRDefault="001C4EB0" w:rsidP="001C4EB0">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w:t>
      </w:r>
      <w:r w:rsidR="00DC7B0B">
        <w:rPr>
          <w:rFonts w:hint="eastAsia"/>
        </w:rPr>
        <w:t xml:space="preserve"> </w:t>
      </w:r>
      <w:r>
        <w:rPr>
          <w:lang w:eastAsia="en-US"/>
        </w:rPr>
        <w:t>and High range frequencies in FR1</w:t>
      </w:r>
      <w:r w:rsidR="00DC7B0B">
        <w:rPr>
          <w:rFonts w:hint="eastAsia"/>
        </w:rPr>
        <w:t xml:space="preserve"> for inter-band UL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1C4EB0" w:rsidRPr="00DC7B0B" w:rsidRDefault="001C4EB0" w:rsidP="001C4EB0">
      <w:bookmarkStart w:id="0" w:name="_Hlk506571898"/>
      <w:r w:rsidRPr="00F75E9F">
        <w:rPr>
          <w:lang w:eastAsia="ja-JP"/>
        </w:rPr>
        <w:t xml:space="preserve">In LTE, </w:t>
      </w:r>
      <w:r>
        <w:t xml:space="preserve">Carrier Leakage </w:t>
      </w:r>
      <w:r>
        <w:rPr>
          <w:lang w:eastAsia="ja-JP"/>
        </w:rPr>
        <w:t xml:space="preserve">is tested for Lowest and Highest </w:t>
      </w:r>
      <w:r w:rsidR="00DC7B0B">
        <w:rPr>
          <w:rFonts w:hint="eastAsia"/>
        </w:rPr>
        <w:t>N</w:t>
      </w:r>
      <w:r w:rsidR="00DC7B0B" w:rsidRPr="00DC7B0B">
        <w:rPr>
          <w:rFonts w:hint="eastAsia"/>
          <w:vertAlign w:val="subscript"/>
        </w:rPr>
        <w:t>RB</w:t>
      </w:r>
      <w:r>
        <w:rPr>
          <w:lang w:eastAsia="ja-JP"/>
        </w:rPr>
        <w:t>. However</w:t>
      </w:r>
      <w:r w:rsidR="00DC7B0B">
        <w:rPr>
          <w:rFonts w:hint="eastAsia"/>
        </w:rPr>
        <w:t>,</w:t>
      </w:r>
      <w:r>
        <w:rPr>
          <w:lang w:eastAsia="ja-JP"/>
        </w:rPr>
        <w:t xml:space="preserve"> </w:t>
      </w:r>
      <w:r w:rsidR="00DC7B0B">
        <w:rPr>
          <w:rFonts w:hint="eastAsia"/>
        </w:rPr>
        <w:t xml:space="preserve">as pointed in [3] </w:t>
      </w:r>
      <w:r>
        <w:rPr>
          <w:lang w:eastAsia="ja-JP"/>
        </w:rPr>
        <w:t xml:space="preserve">it is not expected that the </w:t>
      </w:r>
      <w:r>
        <w:rPr>
          <w:lang w:eastAsia="ja-JP"/>
        </w:rPr>
        <w:lastRenderedPageBreak/>
        <w:t xml:space="preserve">carrier leakage power level depends on the channel bandwidth. </w:t>
      </w:r>
      <w:r w:rsidR="00DC7B0B">
        <w:rPr>
          <w:rFonts w:hint="eastAsia"/>
        </w:rPr>
        <w:t>Hence it proposed to follow NR single carrier to use the Mid N</w:t>
      </w:r>
      <w:r w:rsidR="00DC7B0B" w:rsidRPr="00DC7B0B">
        <w:rPr>
          <w:rFonts w:hint="eastAsia"/>
          <w:vertAlign w:val="subscript"/>
        </w:rPr>
        <w:t>RB</w:t>
      </w:r>
      <w:r w:rsidR="00DC7B0B">
        <w:rPr>
          <w:rFonts w:hint="eastAsia"/>
        </w:rPr>
        <w:t xml:space="preserve"> for carrier leakage test for inter-band UL CA. </w:t>
      </w:r>
    </w:p>
    <w:bookmarkEnd w:id="0"/>
    <w:p w:rsidR="001C4EB0" w:rsidRPr="003B026C" w:rsidRDefault="001C4EB0" w:rsidP="001C4EB0">
      <w:pPr>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r w:rsidR="00DC7B0B">
        <w:rPr>
          <w:rFonts w:hint="eastAsia"/>
        </w:rPr>
        <w:t xml:space="preserve"> for UL inter-band CA</w:t>
      </w:r>
      <w:r w:rsidRPr="003B026C">
        <w:rPr>
          <w:lang w:eastAsia="en-US"/>
        </w:rPr>
        <w:t>.</w:t>
      </w:r>
    </w:p>
    <w:p w:rsidR="001C4EB0" w:rsidRDefault="001C4EB0" w:rsidP="001C4EB0">
      <w:pPr>
        <w:pStyle w:val="Heading2"/>
        <w:tabs>
          <w:tab w:val="clear" w:pos="576"/>
          <w:tab w:val="num" w:pos="432"/>
        </w:tabs>
        <w:ind w:left="432" w:hanging="432"/>
        <w:rPr>
          <w:rFonts w:cs="Arial"/>
          <w:lang w:val="en-US"/>
        </w:rPr>
      </w:pPr>
      <w:r>
        <w:rPr>
          <w:rFonts w:cs="Arial"/>
          <w:lang w:val="en-US"/>
        </w:rPr>
        <w:t>Test Modulations and waveforms</w:t>
      </w:r>
    </w:p>
    <w:p w:rsidR="001C4EB0" w:rsidRPr="003B026C" w:rsidRDefault="001C4EB0" w:rsidP="001C4EB0">
      <w:pPr>
        <w:rPr>
          <w:lang w:eastAsia="en-US"/>
        </w:rPr>
      </w:pPr>
      <w:r>
        <w:rPr>
          <w:lang w:eastAsia="en-US"/>
        </w:rPr>
        <w:t>In LTE Carrier Leakage is tested for test points without MPR. Therefore, DFT-s-OFDM QPSK should be selected as modulation and waveform as it does not have any MPR</w:t>
      </w:r>
      <w:r w:rsidR="005C2ED3">
        <w:rPr>
          <w:rFonts w:hint="eastAsia"/>
        </w:rPr>
        <w:t xml:space="preserve"> as </w:t>
      </w:r>
      <w:r w:rsidR="001B4E97">
        <w:rPr>
          <w:rFonts w:hint="eastAsia"/>
        </w:rPr>
        <w:t xml:space="preserve">configuration suggested for </w:t>
      </w:r>
      <w:r w:rsidR="005C2ED3">
        <w:rPr>
          <w:rFonts w:hint="eastAsia"/>
        </w:rPr>
        <w:t>single carrier</w:t>
      </w:r>
      <w:r w:rsidR="001B4E97">
        <w:rPr>
          <w:rFonts w:hint="eastAsia"/>
        </w:rPr>
        <w:t xml:space="preserve"> </w:t>
      </w:r>
      <w:proofErr w:type="gramStart"/>
      <w:r w:rsidR="001B4E97">
        <w:rPr>
          <w:rFonts w:hint="eastAsia"/>
        </w:rPr>
        <w:t>in[</w:t>
      </w:r>
      <w:proofErr w:type="gramEnd"/>
      <w:r w:rsidR="001B4E97">
        <w:rPr>
          <w:rFonts w:hint="eastAsia"/>
        </w:rPr>
        <w:t>3]</w:t>
      </w:r>
      <w:r>
        <w:rPr>
          <w:lang w:eastAsia="en-US"/>
        </w:rPr>
        <w:t>.</w:t>
      </w:r>
    </w:p>
    <w:p w:rsidR="001C4EB0" w:rsidRPr="003B026C" w:rsidRDefault="001C4EB0" w:rsidP="001C4EB0">
      <w:pPr>
        <w:rPr>
          <w:lang w:eastAsia="en-US"/>
        </w:rPr>
      </w:pPr>
      <w:r w:rsidRPr="003B026C">
        <w:rPr>
          <w:b/>
          <w:lang w:eastAsia="en-US"/>
        </w:rPr>
        <w:t>Proposal 5:</w:t>
      </w:r>
      <w:r w:rsidRPr="003B026C">
        <w:rPr>
          <w:lang w:eastAsia="en-US"/>
        </w:rPr>
        <w:t xml:space="preserve"> Test </w:t>
      </w:r>
      <w:r>
        <w:rPr>
          <w:lang w:eastAsia="en-US"/>
        </w:rPr>
        <w:t xml:space="preserve">Carrier Leakage with DFT-s-OFDM QPSK. </w:t>
      </w:r>
    </w:p>
    <w:p w:rsidR="001C4EB0" w:rsidRPr="003B026C" w:rsidRDefault="001C4EB0" w:rsidP="001C4EB0">
      <w:pPr>
        <w:pStyle w:val="Heading2"/>
        <w:tabs>
          <w:tab w:val="clear" w:pos="576"/>
          <w:tab w:val="num" w:pos="432"/>
        </w:tabs>
        <w:ind w:left="432" w:hanging="432"/>
        <w:rPr>
          <w:rFonts w:cs="Arial"/>
          <w:lang w:val="en-US"/>
        </w:rPr>
      </w:pPr>
      <w:r>
        <w:rPr>
          <w:rFonts w:cs="Arial"/>
          <w:lang w:val="en-US"/>
        </w:rPr>
        <w:t>RB allocation</w:t>
      </w:r>
    </w:p>
    <w:p w:rsidR="001C4EB0" w:rsidRDefault="001C4EB0" w:rsidP="001C4EB0">
      <w:pPr>
        <w:rPr>
          <w:lang w:eastAsia="en-US"/>
        </w:rPr>
      </w:pPr>
      <w:r w:rsidRPr="003B026C">
        <w:rPr>
          <w:lang w:eastAsia="en-US"/>
        </w:rPr>
        <w:t xml:space="preserve">In LTE, </w:t>
      </w:r>
      <w:r>
        <w:rPr>
          <w:lang w:eastAsia="en-US"/>
        </w:rPr>
        <w:t>Carrier Leakage</w:t>
      </w:r>
      <w:r w:rsidR="001B4E97">
        <w:rPr>
          <w:rFonts w:hint="eastAsia"/>
        </w:rPr>
        <w:t xml:space="preserve"> for inter-band CA</w:t>
      </w:r>
      <w:r>
        <w:rPr>
          <w:lang w:eastAsia="en-US"/>
        </w:rPr>
        <w:t xml:space="preserve"> is tested with highest allocation without MPR where the partial allocation is located on the lower and upper channel edge</w:t>
      </w:r>
      <w:r w:rsidR="001B4E97">
        <w:rPr>
          <w:rFonts w:hint="eastAsia"/>
        </w:rPr>
        <w:t xml:space="preserve"> for PCC and without any PRB allocation for SCC</w:t>
      </w:r>
      <w:r>
        <w:rPr>
          <w:lang w:eastAsia="en-US"/>
        </w:rPr>
        <w:t xml:space="preserve">. For 5G the DC carrier is no longer fixed at the center of the channel bandwidth but can be located anywhere inside the channel. However, Carrier Leakage can only be measured when the RB at the position of the DC carrier is not allocated. Taking this into account the natural choices are Inner_1RB_Left or Inner_1RB_Right as they keep the allocation to a minimum while having no MPR. </w:t>
      </w:r>
    </w:p>
    <w:p w:rsidR="001C4EB0" w:rsidRPr="003B026C" w:rsidRDefault="001C4EB0" w:rsidP="001C4EB0">
      <w:pPr>
        <w:rPr>
          <w:lang w:eastAsia="en-US"/>
        </w:rPr>
      </w:pPr>
      <w:r w:rsidRPr="003B026C">
        <w:rPr>
          <w:b/>
          <w:lang w:eastAsia="en-US"/>
        </w:rPr>
        <w:t>Proposal 6</w:t>
      </w:r>
      <w:r w:rsidRPr="003B026C">
        <w:rPr>
          <w:lang w:eastAsia="en-US"/>
        </w:rPr>
        <w:t xml:space="preserve">: Test </w:t>
      </w:r>
      <w:r>
        <w:rPr>
          <w:lang w:eastAsia="en-US"/>
        </w:rPr>
        <w:t>Carrier Leakage with Inner_1RB_Left</w:t>
      </w:r>
      <w:r w:rsidR="007021D8">
        <w:rPr>
          <w:rFonts w:hint="eastAsia"/>
        </w:rPr>
        <w:t xml:space="preserve"> for PCC and 0PRB allocation for SCC</w:t>
      </w:r>
      <w:r>
        <w:rPr>
          <w:lang w:eastAsia="en-US"/>
        </w:rPr>
        <w:t xml:space="preserve">. In case the signaled carrier position is at Inner_1RB_Left, use Inner_1RB_Right. </w:t>
      </w:r>
    </w:p>
    <w:p w:rsidR="00086D95" w:rsidRPr="009A56BE" w:rsidRDefault="00086D95" w:rsidP="00086D95">
      <w:pPr>
        <w:pStyle w:val="Heading2"/>
        <w:tabs>
          <w:tab w:val="clear" w:pos="576"/>
          <w:tab w:val="num" w:pos="432"/>
        </w:tabs>
      </w:pPr>
      <w:r w:rsidRPr="009A56BE">
        <w:t>Number of test points for</w:t>
      </w:r>
      <w:r w:rsidR="001C4EB0">
        <w:rPr>
          <w:rFonts w:hint="eastAsia"/>
          <w:lang w:eastAsia="zh-CN"/>
        </w:rPr>
        <w:t xml:space="preserve"> CA Carrier Leakage</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62"/>
        <w:gridCol w:w="1172"/>
        <w:gridCol w:w="1176"/>
        <w:gridCol w:w="1007"/>
        <w:gridCol w:w="1115"/>
      </w:tblGrid>
      <w:tr w:rsidR="00086D95" w:rsidRPr="00163413" w:rsidTr="000229CD">
        <w:trPr>
          <w:trHeight w:val="714"/>
          <w:jc w:val="center"/>
        </w:trPr>
        <w:tc>
          <w:tcPr>
            <w:tcW w:w="1057"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rsidR="00086D95" w:rsidRPr="007021D8" w:rsidRDefault="00086D95"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sidR="007021D8">
              <w:rPr>
                <w:rFonts w:cs="Times New Roman" w:hint="eastAsia"/>
                <w:b/>
                <w:noProof/>
                <w:sz w:val="18"/>
                <w:szCs w:val="20"/>
                <w:lang w:val="en-GB"/>
              </w:rPr>
              <w:t>points</w:t>
            </w:r>
          </w:p>
        </w:tc>
      </w:tr>
      <w:tr w:rsidR="00086D95" w:rsidRPr="00163413" w:rsidTr="000229CD">
        <w:trPr>
          <w:jc w:val="center"/>
        </w:trPr>
        <w:tc>
          <w:tcPr>
            <w:tcW w:w="1057"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1</w:t>
            </w:r>
          </w:p>
        </w:tc>
        <w:tc>
          <w:tcPr>
            <w:tcW w:w="921"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2</w:t>
            </w:r>
          </w:p>
        </w:tc>
        <w:tc>
          <w:tcPr>
            <w:tcW w:w="792"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1</w:t>
            </w:r>
          </w:p>
        </w:tc>
        <w:tc>
          <w:tcPr>
            <w:tcW w:w="795" w:type="pct"/>
          </w:tcPr>
          <w:p w:rsidR="00086D95" w:rsidRPr="00163413" w:rsidRDefault="00086D95" w:rsidP="000229CD">
            <w:pPr>
              <w:keepNext/>
              <w:keepLines/>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rsidR="00086D95" w:rsidRPr="00163413" w:rsidRDefault="00086D95" w:rsidP="000229CD">
            <w:pPr>
              <w:keepNext/>
              <w:keepLines/>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2</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Heading1"/>
        <w:rPr>
          <w:rFonts w:cs="Arial"/>
          <w:lang w:eastAsia="zh-CN"/>
        </w:rPr>
      </w:pPr>
      <w:r>
        <w:rPr>
          <w:rFonts w:cs="Arial" w:hint="eastAsia"/>
          <w:lang w:eastAsia="zh-CN"/>
        </w:rPr>
        <w:t>Conclusion</w:t>
      </w:r>
    </w:p>
    <w:p w:rsidR="004E02D1" w:rsidRDefault="0018026F" w:rsidP="008D3D9C">
      <w:pPr>
        <w:rPr>
          <w:szCs w:val="21"/>
        </w:rPr>
      </w:pPr>
      <w:r>
        <w:rPr>
          <w:rFonts w:hint="eastAsia"/>
          <w:szCs w:val="21"/>
        </w:rPr>
        <w:t>For</w:t>
      </w:r>
      <w:r w:rsidR="00C01E02">
        <w:rPr>
          <w:rFonts w:hint="eastAsia"/>
          <w:szCs w:val="21"/>
        </w:rPr>
        <w:t xml:space="preserve"> the inter-band UL CA </w:t>
      </w:r>
      <w:r w:rsidR="00A7569B">
        <w:rPr>
          <w:rFonts w:hint="eastAsia"/>
          <w:szCs w:val="21"/>
        </w:rPr>
        <w:t>carrier leakage</w:t>
      </w:r>
      <w:r w:rsidR="00C01E02">
        <w:rPr>
          <w:rFonts w:hint="eastAsia"/>
          <w:szCs w:val="21"/>
        </w:rPr>
        <w:t xml:space="preserve"> requirement the test condition is proposed </w:t>
      </w:r>
      <w:r>
        <w:rPr>
          <w:rFonts w:hint="eastAsia"/>
          <w:szCs w:val="21"/>
        </w:rPr>
        <w:t>as below:</w:t>
      </w:r>
      <w:bookmarkStart w:id="1" w:name="_GoBack"/>
      <w:bookmarkEnd w:id="1"/>
      <w:r w:rsidR="00C01E02">
        <w:rPr>
          <w:rFonts w:hint="eastAsia"/>
          <w:szCs w:val="21"/>
        </w:rPr>
        <w:t xml:space="preserve"> </w:t>
      </w:r>
    </w:p>
    <w:p w:rsidR="008937C5" w:rsidRDefault="008937C5" w:rsidP="008937C5">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r>
        <w:rPr>
          <w:rFonts w:hint="eastAsia"/>
        </w:rPr>
        <w:t xml:space="preserve"> for UL inter-band CA</w:t>
      </w:r>
      <w:r>
        <w:rPr>
          <w:lang w:eastAsia="en-US"/>
        </w:rPr>
        <w:t>.</w:t>
      </w:r>
    </w:p>
    <w:p w:rsidR="008937C5" w:rsidRDefault="008937C5" w:rsidP="008937C5">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r>
        <w:rPr>
          <w:rFonts w:hint="eastAsia"/>
        </w:rPr>
        <w:t xml:space="preserve"> for inter-band UL CA</w:t>
      </w:r>
      <w:r>
        <w:rPr>
          <w:lang w:eastAsia="en-US"/>
        </w:rPr>
        <w:t>.</w:t>
      </w:r>
    </w:p>
    <w:p w:rsidR="008937C5" w:rsidRDefault="008937C5" w:rsidP="008937C5">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w:t>
      </w:r>
      <w:r>
        <w:rPr>
          <w:rFonts w:hint="eastAsia"/>
        </w:rPr>
        <w:t xml:space="preserve"> </w:t>
      </w:r>
      <w:r>
        <w:rPr>
          <w:lang w:eastAsia="en-US"/>
        </w:rPr>
        <w:t>and High range frequencies in FR1</w:t>
      </w:r>
      <w:r>
        <w:rPr>
          <w:rFonts w:hint="eastAsia"/>
        </w:rPr>
        <w:t xml:space="preserve"> for inter-band UL CA</w:t>
      </w:r>
      <w:r>
        <w:rPr>
          <w:lang w:eastAsia="en-US"/>
        </w:rPr>
        <w:t>.</w:t>
      </w:r>
    </w:p>
    <w:p w:rsidR="008937C5" w:rsidRPr="003B026C" w:rsidRDefault="008937C5" w:rsidP="008937C5">
      <w:pPr>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r>
        <w:rPr>
          <w:rFonts w:hint="eastAsia"/>
        </w:rPr>
        <w:t xml:space="preserve"> for UL inter-band CA</w:t>
      </w:r>
      <w:r w:rsidRPr="003B026C">
        <w:rPr>
          <w:lang w:eastAsia="en-US"/>
        </w:rPr>
        <w:t>.</w:t>
      </w:r>
    </w:p>
    <w:p w:rsidR="008937C5" w:rsidRPr="003B026C" w:rsidRDefault="008937C5" w:rsidP="008937C5">
      <w:pPr>
        <w:rPr>
          <w:lang w:eastAsia="en-US"/>
        </w:rPr>
      </w:pPr>
      <w:r w:rsidRPr="003B026C">
        <w:rPr>
          <w:b/>
          <w:lang w:eastAsia="en-US"/>
        </w:rPr>
        <w:t>Proposal 5:</w:t>
      </w:r>
      <w:r w:rsidRPr="003B026C">
        <w:rPr>
          <w:lang w:eastAsia="en-US"/>
        </w:rPr>
        <w:t xml:space="preserve"> Test </w:t>
      </w:r>
      <w:r>
        <w:rPr>
          <w:lang w:eastAsia="en-US"/>
        </w:rPr>
        <w:t xml:space="preserve">Carrier Leakage with DFT-s-OFDM QPSK. </w:t>
      </w:r>
    </w:p>
    <w:p w:rsidR="008937C5" w:rsidRPr="003B026C" w:rsidRDefault="008937C5" w:rsidP="008937C5">
      <w:pPr>
        <w:rPr>
          <w:lang w:eastAsia="en-US"/>
        </w:rPr>
      </w:pPr>
      <w:r w:rsidRPr="003B026C">
        <w:rPr>
          <w:b/>
          <w:lang w:eastAsia="en-US"/>
        </w:rPr>
        <w:t>Proposal 6</w:t>
      </w:r>
      <w:r w:rsidRPr="003B026C">
        <w:rPr>
          <w:lang w:eastAsia="en-US"/>
        </w:rPr>
        <w:t xml:space="preserve">: Test </w:t>
      </w:r>
      <w:r>
        <w:rPr>
          <w:lang w:eastAsia="en-US"/>
        </w:rPr>
        <w:t>Carrier Leakage with Inner_1RB_Left</w:t>
      </w:r>
      <w:r>
        <w:rPr>
          <w:rFonts w:hint="eastAsia"/>
        </w:rPr>
        <w:t xml:space="preserve"> for PCC and 0PRB allocation for SCC</w:t>
      </w:r>
      <w:r>
        <w:rPr>
          <w:lang w:eastAsia="en-US"/>
        </w:rPr>
        <w:t xml:space="preserve">. In case the signaled carrier position is at Inner_1RB_Left, use Inner_1RB_Right. </w:t>
      </w:r>
    </w:p>
    <w:p w:rsidR="00C01E02" w:rsidRPr="008937C5" w:rsidRDefault="00C01E02" w:rsidP="008D3D9C">
      <w:pPr>
        <w:rPr>
          <w:szCs w:val="21"/>
        </w:rPr>
      </w:pPr>
    </w:p>
    <w:p w:rsidR="001876C0" w:rsidRDefault="001876C0" w:rsidP="001876C0">
      <w:pPr>
        <w:pStyle w:val="Heading1"/>
        <w:rPr>
          <w:rFonts w:cs="Arial"/>
          <w:lang w:eastAsia="zh-CN"/>
        </w:rPr>
      </w:pPr>
      <w:r>
        <w:rPr>
          <w:rFonts w:cs="Arial" w:hint="eastAsia"/>
          <w:lang w:eastAsia="zh-CN"/>
        </w:rPr>
        <w:lastRenderedPageBreak/>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2B7E65" w:rsidRDefault="002B7E65" w:rsidP="002B7E65">
      <w:r>
        <w:rPr>
          <w:rFonts w:hint="eastAsia"/>
        </w:rPr>
        <w:t>[3]</w:t>
      </w:r>
      <w:r w:rsidRPr="002B7E65">
        <w:t xml:space="preserve"> </w:t>
      </w:r>
      <w:r w:rsidR="001C4EB0" w:rsidRPr="001C4EB0">
        <w:t>R5-185311, “TP for updating TR 38.905 with FR1 Carrier Leakage test point analysis</w:t>
      </w:r>
    </w:p>
    <w:p w:rsidR="00EB3700" w:rsidRPr="00B41740" w:rsidRDefault="00EB3700" w:rsidP="00EB3700">
      <w:r>
        <w:rPr>
          <w:rFonts w:hint="eastAsia"/>
        </w:rPr>
        <w:t xml:space="preserve">[4] </w:t>
      </w:r>
      <w:r w:rsidRPr="00694AA9">
        <w:t>3GPP TS 3</w:t>
      </w:r>
      <w:r>
        <w:rPr>
          <w:rFonts w:hint="eastAsia"/>
        </w:rPr>
        <w:t>6</w:t>
      </w:r>
      <w:r w:rsidRPr="00694AA9">
        <w:t>.521-1 v</w:t>
      </w:r>
      <w:r>
        <w:rPr>
          <w:rFonts w:hint="eastAsia"/>
        </w:rPr>
        <w:t>15</w:t>
      </w:r>
      <w:r w:rsidRPr="00694AA9">
        <w:t>.</w:t>
      </w:r>
      <w:r>
        <w:rPr>
          <w:rFonts w:hint="eastAsia"/>
        </w:rPr>
        <w:t>4</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15</w:t>
      </w:r>
      <w:r w:rsidRPr="00694AA9">
        <w:t>.</w:t>
      </w:r>
      <w:r>
        <w:rPr>
          <w:rFonts w:hint="eastAsia"/>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rPr>
        <w:t>.</w:t>
      </w:r>
    </w:p>
    <w:p w:rsidR="00EB3700" w:rsidRDefault="00EB3700" w:rsidP="00EB3700">
      <w:r>
        <w:rPr>
          <w:rFonts w:hint="eastAsia"/>
        </w:rPr>
        <w:t xml:space="preserve">[6] </w:t>
      </w:r>
      <w:r>
        <w:t>3GPP TS 38.101-1 v15.</w:t>
      </w:r>
      <w:r>
        <w:rPr>
          <w:rFonts w:hint="eastAsia"/>
        </w:rPr>
        <w:t>4</w:t>
      </w:r>
      <w:r>
        <w:t>.0 User Equipment (UE) radio transmission and reception; Part 1: Range 1 Standalone</w:t>
      </w:r>
      <w:r w:rsidRPr="00AD2D5F" w:rsidDel="00E00B17">
        <w:rPr>
          <w:lang w:eastAsia="ja-JP"/>
        </w:rPr>
        <w:t xml:space="preserve"> </w:t>
      </w:r>
      <w:r>
        <w:rPr>
          <w:lang w:eastAsia="ja-JP"/>
        </w:rPr>
        <w:t>(Release 15)</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FE8" w:rsidRDefault="00BF4FE8" w:rsidP="00FF76F4">
      <w:r>
        <w:separator/>
      </w:r>
    </w:p>
  </w:endnote>
  <w:endnote w:type="continuationSeparator" w:id="0">
    <w:p w:rsidR="00BF4FE8" w:rsidRDefault="00BF4FE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FE8" w:rsidRDefault="00BF4FE8" w:rsidP="00FF76F4">
      <w:r>
        <w:separator/>
      </w:r>
    </w:p>
  </w:footnote>
  <w:footnote w:type="continuationSeparator" w:id="0">
    <w:p w:rsidR="00BF4FE8" w:rsidRDefault="00BF4FE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2">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62691"/>
    <w:rsid w:val="00173E9D"/>
    <w:rsid w:val="001754C2"/>
    <w:rsid w:val="0017557C"/>
    <w:rsid w:val="00175ACA"/>
    <w:rsid w:val="0018026F"/>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B4132"/>
    <w:rsid w:val="002B7E65"/>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EAB"/>
    <w:rsid w:val="003A5389"/>
    <w:rsid w:val="003B3155"/>
    <w:rsid w:val="003B7398"/>
    <w:rsid w:val="003B7523"/>
    <w:rsid w:val="003C1610"/>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4E1"/>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B2965"/>
    <w:rsid w:val="005B49A1"/>
    <w:rsid w:val="005C2ED3"/>
    <w:rsid w:val="005C5399"/>
    <w:rsid w:val="005D08C9"/>
    <w:rsid w:val="005D0A38"/>
    <w:rsid w:val="005D3BC1"/>
    <w:rsid w:val="005E2128"/>
    <w:rsid w:val="005F3D83"/>
    <w:rsid w:val="00602538"/>
    <w:rsid w:val="0061075C"/>
    <w:rsid w:val="006126A1"/>
    <w:rsid w:val="0061298D"/>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4283"/>
    <w:rsid w:val="00A6034F"/>
    <w:rsid w:val="00A6191E"/>
    <w:rsid w:val="00A660EB"/>
    <w:rsid w:val="00A71D64"/>
    <w:rsid w:val="00A7569B"/>
    <w:rsid w:val="00A82EDB"/>
    <w:rsid w:val="00A87E14"/>
    <w:rsid w:val="00A90B54"/>
    <w:rsid w:val="00A91F30"/>
    <w:rsid w:val="00A942F3"/>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BF4FE8"/>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A3854"/>
    <w:rsid w:val="00CA77A1"/>
    <w:rsid w:val="00CB0BD7"/>
    <w:rsid w:val="00CB4C0B"/>
    <w:rsid w:val="00CC1786"/>
    <w:rsid w:val="00CC5B2A"/>
    <w:rsid w:val="00CC6475"/>
    <w:rsid w:val="00CD06BB"/>
    <w:rsid w:val="00CD4334"/>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B3700"/>
    <w:rsid w:val="00EC0AA6"/>
    <w:rsid w:val="00EC122F"/>
    <w:rsid w:val="00ED4907"/>
    <w:rsid w:val="00EE03AE"/>
    <w:rsid w:val="00EE06EC"/>
    <w:rsid w:val="00EE3D1A"/>
    <w:rsid w:val="00EF1343"/>
    <w:rsid w:val="00EF4439"/>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06B7-1C4A-465E-9853-087F33E1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11</cp:revision>
  <dcterms:created xsi:type="dcterms:W3CDTF">2019-02-15T05:22:00Z</dcterms:created>
  <dcterms:modified xsi:type="dcterms:W3CDTF">2019-02-15T10:33:00Z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